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434AB5">
        <w:tblPrEx>
          <w:tblCellMar>
            <w:top w:w="0" w:type="dxa"/>
            <w:bottom w:w="0" w:type="dxa"/>
          </w:tblCellMar>
        </w:tblPrEx>
        <w:trPr>
          <w:tblCellSpacing w:w="60" w:type="dxa"/>
        </w:trPr>
        <w:tc>
          <w:tcPr>
            <w:tcW w:w="1200" w:type="pct"/>
            <w:shd w:val="clear" w:color="auto" w:fill="E7F0F9"/>
          </w:tcPr>
          <w:p w:rsidR="00434AB5" w:rsidRDefault="00D86D94">
            <w:pPr>
              <w:spacing w:after="0" w:line="240" w:lineRule="auto"/>
            </w:pPr>
            <w:bookmarkStart w:id="0" w:name="_GoBack"/>
            <w:bookmarkEnd w:id="0"/>
            <w:r>
              <w:rPr>
                <w:b/>
              </w:rPr>
              <w:t>RKP broj</w:t>
            </w:r>
          </w:p>
        </w:tc>
        <w:tc>
          <w:tcPr>
            <w:tcW w:w="0" w:type="auto"/>
            <w:shd w:val="clear" w:color="auto" w:fill="E7F0F9"/>
          </w:tcPr>
          <w:p w:rsidR="00434AB5" w:rsidRDefault="00D86D94">
            <w:pPr>
              <w:spacing w:after="0" w:line="240" w:lineRule="auto"/>
            </w:pPr>
            <w:r>
              <w:t>51378</w:t>
            </w:r>
          </w:p>
        </w:tc>
      </w:tr>
      <w:tr w:rsidR="00434AB5">
        <w:tblPrEx>
          <w:tblCellMar>
            <w:top w:w="0" w:type="dxa"/>
            <w:bottom w:w="0" w:type="dxa"/>
          </w:tblCellMar>
        </w:tblPrEx>
        <w:trPr>
          <w:tblCellSpacing w:w="60" w:type="dxa"/>
        </w:trPr>
        <w:tc>
          <w:tcPr>
            <w:tcW w:w="1200" w:type="pct"/>
            <w:shd w:val="clear" w:color="auto" w:fill="E7F0F9"/>
          </w:tcPr>
          <w:p w:rsidR="00434AB5" w:rsidRDefault="00D86D94">
            <w:pPr>
              <w:spacing w:after="0" w:line="240" w:lineRule="auto"/>
            </w:pPr>
            <w:r>
              <w:rPr>
                <w:b/>
              </w:rPr>
              <w:t>Naziv obveznika</w:t>
            </w:r>
          </w:p>
        </w:tc>
        <w:tc>
          <w:tcPr>
            <w:tcW w:w="0" w:type="auto"/>
            <w:shd w:val="clear" w:color="auto" w:fill="E7F0F9"/>
          </w:tcPr>
          <w:p w:rsidR="00434AB5" w:rsidRDefault="00D86D94">
            <w:pPr>
              <w:spacing w:after="0" w:line="240" w:lineRule="auto"/>
            </w:pPr>
            <w:r>
              <w:t>OSNOVNA ŠKOLA MONTOVJERNA</w:t>
            </w:r>
          </w:p>
        </w:tc>
      </w:tr>
      <w:tr w:rsidR="00434AB5">
        <w:tblPrEx>
          <w:tblCellMar>
            <w:top w:w="0" w:type="dxa"/>
            <w:bottom w:w="0" w:type="dxa"/>
          </w:tblCellMar>
        </w:tblPrEx>
        <w:trPr>
          <w:tblCellSpacing w:w="60" w:type="dxa"/>
        </w:trPr>
        <w:tc>
          <w:tcPr>
            <w:tcW w:w="1200" w:type="pct"/>
            <w:shd w:val="clear" w:color="auto" w:fill="E7F0F9"/>
          </w:tcPr>
          <w:p w:rsidR="00434AB5" w:rsidRDefault="00D86D94">
            <w:pPr>
              <w:spacing w:after="0" w:line="240" w:lineRule="auto"/>
            </w:pPr>
            <w:r>
              <w:rPr>
                <w:b/>
              </w:rPr>
              <w:t>Razina</w:t>
            </w:r>
          </w:p>
        </w:tc>
        <w:tc>
          <w:tcPr>
            <w:tcW w:w="0" w:type="auto"/>
            <w:shd w:val="clear" w:color="auto" w:fill="E7F0F9"/>
          </w:tcPr>
          <w:p w:rsidR="00434AB5" w:rsidRDefault="00D86D94">
            <w:pPr>
              <w:spacing w:after="0" w:line="240" w:lineRule="auto"/>
            </w:pPr>
            <w:r>
              <w:t>31</w:t>
            </w:r>
          </w:p>
        </w:tc>
      </w:tr>
    </w:tbl>
    <w:p w:rsidR="00434AB5" w:rsidRDefault="00D86D94">
      <w:r>
        <w:br/>
      </w:r>
    </w:p>
    <w:p w:rsidR="00434AB5" w:rsidRDefault="00D86D94">
      <w:pPr>
        <w:spacing w:line="240" w:lineRule="auto"/>
        <w:jc w:val="center"/>
      </w:pPr>
      <w:r>
        <w:rPr>
          <w:b/>
          <w:sz w:val="28"/>
        </w:rPr>
        <w:t>BILJEŠKE UZ FINANCIJSKE IZVJEŠTAJE</w:t>
      </w:r>
    </w:p>
    <w:p w:rsidR="00434AB5" w:rsidRDefault="00D86D94">
      <w:pPr>
        <w:spacing w:line="240" w:lineRule="auto"/>
        <w:jc w:val="center"/>
      </w:pPr>
      <w:r>
        <w:rPr>
          <w:b/>
          <w:sz w:val="28"/>
        </w:rPr>
        <w:t>ZA RAZDOBLJE</w:t>
      </w:r>
    </w:p>
    <w:p w:rsidR="00434AB5" w:rsidRDefault="00D86D94">
      <w:pPr>
        <w:spacing w:line="240" w:lineRule="auto"/>
        <w:jc w:val="center"/>
      </w:pPr>
      <w:r>
        <w:rPr>
          <w:b/>
          <w:sz w:val="28"/>
        </w:rPr>
        <w:t>I - VI 2025.</w:t>
      </w:r>
    </w:p>
    <w:p w:rsidR="00434AB5" w:rsidRDefault="00434AB5"/>
    <w:p w:rsidR="00434AB5" w:rsidRDefault="00D86D94">
      <w:pPr>
        <w:keepNext/>
        <w:spacing w:line="240" w:lineRule="auto"/>
        <w:jc w:val="center"/>
      </w:pPr>
      <w:r>
        <w:rPr>
          <w:b/>
          <w:sz w:val="28"/>
        </w:rPr>
        <w:t>Izvještaj o prihodima i rashodima, primicima i izdacima</w:t>
      </w:r>
    </w:p>
    <w:p w:rsidR="00434AB5" w:rsidRDefault="00D86D94">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6</w:t>
            </w:r>
          </w:p>
        </w:tc>
        <w:tc>
          <w:tcPr>
            <w:tcW w:w="3180" w:type="dxa"/>
            <w:tcMar>
              <w:top w:w="0" w:type="dxa"/>
              <w:bottom w:w="0" w:type="dxa"/>
            </w:tcMar>
            <w:vAlign w:val="center"/>
          </w:tcPr>
          <w:p w:rsidR="00434AB5" w:rsidRDefault="00D86D94">
            <w:pPr>
              <w:keepNext/>
              <w:keepLines/>
              <w:spacing w:after="0" w:line="240" w:lineRule="auto"/>
            </w:pPr>
            <w:r>
              <w:rPr>
                <w:sz w:val="18"/>
              </w:rPr>
              <w:t>PRIHODI POSLOVANJA (šifre 61+62+63+64+65+66+67+68)</w:t>
            </w:r>
          </w:p>
        </w:tc>
        <w:tc>
          <w:tcPr>
            <w:tcW w:w="700" w:type="dxa"/>
            <w:tcMar>
              <w:top w:w="0" w:type="dxa"/>
              <w:bottom w:w="0" w:type="dxa"/>
            </w:tcMar>
            <w:vAlign w:val="center"/>
          </w:tcPr>
          <w:p w:rsidR="00434AB5" w:rsidRDefault="00D86D94">
            <w:pPr>
              <w:keepNext/>
              <w:keepLines/>
              <w:spacing w:after="0" w:line="240" w:lineRule="auto"/>
            </w:pPr>
            <w:r>
              <w:rPr>
                <w:sz w:val="18"/>
              </w:rPr>
              <w:t>6</w:t>
            </w:r>
          </w:p>
        </w:tc>
        <w:tc>
          <w:tcPr>
            <w:tcW w:w="1860" w:type="dxa"/>
            <w:tcMar>
              <w:top w:w="0" w:type="dxa"/>
              <w:bottom w:w="0" w:type="dxa"/>
            </w:tcMar>
            <w:vAlign w:val="center"/>
          </w:tcPr>
          <w:p w:rsidR="00434AB5" w:rsidRDefault="00D86D94">
            <w:pPr>
              <w:keepNext/>
              <w:keepLines/>
              <w:spacing w:after="0" w:line="240" w:lineRule="auto"/>
              <w:jc w:val="right"/>
            </w:pPr>
            <w:r>
              <w:rPr>
                <w:sz w:val="18"/>
              </w:rPr>
              <w:t>891.382,13</w:t>
            </w:r>
          </w:p>
        </w:tc>
        <w:tc>
          <w:tcPr>
            <w:tcW w:w="1860" w:type="dxa"/>
            <w:tcMar>
              <w:top w:w="0" w:type="dxa"/>
              <w:bottom w:w="0" w:type="dxa"/>
            </w:tcMar>
            <w:vAlign w:val="center"/>
          </w:tcPr>
          <w:p w:rsidR="00434AB5" w:rsidRDefault="00D86D94">
            <w:pPr>
              <w:keepNext/>
              <w:keepLines/>
              <w:spacing w:after="0" w:line="240" w:lineRule="auto"/>
              <w:jc w:val="right"/>
            </w:pPr>
            <w:r>
              <w:rPr>
                <w:sz w:val="18"/>
              </w:rPr>
              <w:t>975.568,34</w:t>
            </w:r>
          </w:p>
        </w:tc>
        <w:tc>
          <w:tcPr>
            <w:tcW w:w="700" w:type="dxa"/>
            <w:tcMar>
              <w:top w:w="0" w:type="dxa"/>
              <w:bottom w:w="0" w:type="dxa"/>
            </w:tcMar>
            <w:vAlign w:val="center"/>
          </w:tcPr>
          <w:p w:rsidR="00434AB5" w:rsidRDefault="00D86D94">
            <w:pPr>
              <w:keepNext/>
              <w:keepLines/>
              <w:spacing w:after="0" w:line="240" w:lineRule="auto"/>
              <w:jc w:val="right"/>
            </w:pPr>
            <w:r>
              <w:rPr>
                <w:sz w:val="18"/>
              </w:rPr>
              <w:t>109,4</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w:t>
            </w:r>
          </w:p>
        </w:tc>
        <w:tc>
          <w:tcPr>
            <w:tcW w:w="3180" w:type="dxa"/>
            <w:tcMar>
              <w:top w:w="0" w:type="dxa"/>
              <w:bottom w:w="0" w:type="dxa"/>
            </w:tcMar>
            <w:vAlign w:val="center"/>
          </w:tcPr>
          <w:p w:rsidR="00434AB5" w:rsidRDefault="00D86D94">
            <w:pPr>
              <w:keepNext/>
              <w:keepLines/>
              <w:spacing w:after="0" w:line="240" w:lineRule="auto"/>
            </w:pPr>
            <w:r>
              <w:rPr>
                <w:sz w:val="18"/>
              </w:rPr>
              <w:t xml:space="preserve">RASHODI POSLOVANJA (šifre </w:t>
            </w:r>
            <w:r>
              <w:rPr>
                <w:sz w:val="18"/>
              </w:rPr>
              <w:t>31+32+34+35+36+37+38)</w:t>
            </w:r>
          </w:p>
        </w:tc>
        <w:tc>
          <w:tcPr>
            <w:tcW w:w="700" w:type="dxa"/>
            <w:tcMar>
              <w:top w:w="0" w:type="dxa"/>
              <w:bottom w:w="0" w:type="dxa"/>
            </w:tcMar>
            <w:vAlign w:val="center"/>
          </w:tcPr>
          <w:p w:rsidR="00434AB5" w:rsidRDefault="00D86D94">
            <w:pPr>
              <w:keepNext/>
              <w:keepLines/>
              <w:spacing w:after="0" w:line="240" w:lineRule="auto"/>
            </w:pPr>
            <w:r>
              <w:rPr>
                <w:sz w:val="18"/>
              </w:rPr>
              <w:t>3</w:t>
            </w:r>
          </w:p>
        </w:tc>
        <w:tc>
          <w:tcPr>
            <w:tcW w:w="1860" w:type="dxa"/>
            <w:tcMar>
              <w:top w:w="0" w:type="dxa"/>
              <w:bottom w:w="0" w:type="dxa"/>
            </w:tcMar>
            <w:vAlign w:val="center"/>
          </w:tcPr>
          <w:p w:rsidR="00434AB5" w:rsidRDefault="00D86D94">
            <w:pPr>
              <w:keepNext/>
              <w:keepLines/>
              <w:spacing w:after="0" w:line="240" w:lineRule="auto"/>
              <w:jc w:val="right"/>
            </w:pPr>
            <w:r>
              <w:rPr>
                <w:sz w:val="18"/>
              </w:rPr>
              <w:t>879.713,72</w:t>
            </w:r>
          </w:p>
        </w:tc>
        <w:tc>
          <w:tcPr>
            <w:tcW w:w="1860" w:type="dxa"/>
            <w:tcMar>
              <w:top w:w="0" w:type="dxa"/>
              <w:bottom w:w="0" w:type="dxa"/>
            </w:tcMar>
            <w:vAlign w:val="center"/>
          </w:tcPr>
          <w:p w:rsidR="00434AB5" w:rsidRDefault="00D86D94">
            <w:pPr>
              <w:keepNext/>
              <w:keepLines/>
              <w:spacing w:after="0" w:line="240" w:lineRule="auto"/>
              <w:jc w:val="right"/>
            </w:pPr>
            <w:r>
              <w:rPr>
                <w:sz w:val="18"/>
              </w:rPr>
              <w:t>1.076.039,54</w:t>
            </w:r>
          </w:p>
        </w:tc>
        <w:tc>
          <w:tcPr>
            <w:tcW w:w="700" w:type="dxa"/>
            <w:tcMar>
              <w:top w:w="0" w:type="dxa"/>
              <w:bottom w:w="0" w:type="dxa"/>
            </w:tcMar>
            <w:vAlign w:val="center"/>
          </w:tcPr>
          <w:p w:rsidR="00434AB5" w:rsidRDefault="00D86D94">
            <w:pPr>
              <w:keepNext/>
              <w:keepLines/>
              <w:spacing w:after="0" w:line="240" w:lineRule="auto"/>
              <w:jc w:val="right"/>
            </w:pPr>
            <w:r>
              <w:rPr>
                <w:sz w:val="18"/>
              </w:rPr>
              <w:t>122,3</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434AB5">
            <w:pPr>
              <w:keepNext/>
              <w:keepLines/>
              <w:spacing w:after="0" w:line="240" w:lineRule="auto"/>
            </w:pPr>
          </w:p>
        </w:tc>
        <w:tc>
          <w:tcPr>
            <w:tcW w:w="3180" w:type="dxa"/>
            <w:tcMar>
              <w:top w:w="0" w:type="dxa"/>
              <w:bottom w:w="0" w:type="dxa"/>
            </w:tcMar>
            <w:vAlign w:val="center"/>
          </w:tcPr>
          <w:p w:rsidR="00434AB5" w:rsidRDefault="00D86D94">
            <w:pPr>
              <w:keepNext/>
              <w:keepLines/>
              <w:spacing w:after="0" w:line="240" w:lineRule="auto"/>
            </w:pPr>
            <w:r>
              <w:rPr>
                <w:b/>
                <w:sz w:val="18"/>
              </w:rPr>
              <w:t>MANJAK PRIHODA POSLOVANJA (šifre Z005-6)</w:t>
            </w:r>
          </w:p>
        </w:tc>
        <w:tc>
          <w:tcPr>
            <w:tcW w:w="700" w:type="dxa"/>
            <w:tcMar>
              <w:top w:w="0" w:type="dxa"/>
              <w:bottom w:w="0" w:type="dxa"/>
            </w:tcMar>
            <w:vAlign w:val="center"/>
          </w:tcPr>
          <w:p w:rsidR="00434AB5" w:rsidRDefault="00D86D94">
            <w:pPr>
              <w:keepNext/>
              <w:keepLines/>
              <w:spacing w:after="0" w:line="240" w:lineRule="auto"/>
            </w:pPr>
            <w:r>
              <w:rPr>
                <w:b/>
                <w:sz w:val="18"/>
              </w:rPr>
              <w:t>Y001</w:t>
            </w:r>
          </w:p>
        </w:tc>
        <w:tc>
          <w:tcPr>
            <w:tcW w:w="1860" w:type="dxa"/>
            <w:tcMar>
              <w:top w:w="0" w:type="dxa"/>
              <w:bottom w:w="0" w:type="dxa"/>
            </w:tcMar>
            <w:vAlign w:val="center"/>
          </w:tcPr>
          <w:p w:rsidR="00434AB5" w:rsidRDefault="00D86D94">
            <w:pPr>
              <w:keepNext/>
              <w:keepLines/>
              <w:spacing w:after="0" w:line="240" w:lineRule="auto"/>
              <w:jc w:val="right"/>
            </w:pPr>
            <w:r>
              <w:rPr>
                <w:b/>
                <w:sz w:val="18"/>
              </w:rPr>
              <w:t>0,00</w:t>
            </w:r>
          </w:p>
        </w:tc>
        <w:tc>
          <w:tcPr>
            <w:tcW w:w="1860" w:type="dxa"/>
            <w:tcMar>
              <w:top w:w="0" w:type="dxa"/>
              <w:bottom w:w="0" w:type="dxa"/>
            </w:tcMar>
            <w:vAlign w:val="center"/>
          </w:tcPr>
          <w:p w:rsidR="00434AB5" w:rsidRDefault="00D86D94">
            <w:pPr>
              <w:keepNext/>
              <w:keepLines/>
              <w:spacing w:after="0" w:line="240" w:lineRule="auto"/>
              <w:jc w:val="right"/>
            </w:pPr>
            <w:r>
              <w:rPr>
                <w:b/>
                <w:sz w:val="18"/>
              </w:rPr>
              <w:t>100.471,20</w:t>
            </w:r>
          </w:p>
        </w:tc>
        <w:tc>
          <w:tcPr>
            <w:tcW w:w="700" w:type="dxa"/>
            <w:tcMar>
              <w:top w:w="0" w:type="dxa"/>
              <w:bottom w:w="0" w:type="dxa"/>
            </w:tcMar>
            <w:vAlign w:val="center"/>
          </w:tcPr>
          <w:p w:rsidR="00434AB5" w:rsidRDefault="00D86D94">
            <w:pPr>
              <w:keepNext/>
              <w:keepLines/>
              <w:spacing w:after="0" w:line="240" w:lineRule="auto"/>
              <w:jc w:val="right"/>
            </w:pPr>
            <w:r>
              <w:rPr>
                <w:b/>
                <w:sz w:val="18"/>
              </w:rPr>
              <w:t>-</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7</w:t>
            </w:r>
          </w:p>
        </w:tc>
        <w:tc>
          <w:tcPr>
            <w:tcW w:w="3180" w:type="dxa"/>
            <w:tcMar>
              <w:top w:w="0" w:type="dxa"/>
              <w:bottom w:w="0" w:type="dxa"/>
            </w:tcMar>
            <w:vAlign w:val="center"/>
          </w:tcPr>
          <w:p w:rsidR="00434AB5" w:rsidRDefault="00D86D94">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434AB5" w:rsidRDefault="00D86D94">
            <w:pPr>
              <w:keepNext/>
              <w:keepLines/>
              <w:spacing w:after="0" w:line="240" w:lineRule="auto"/>
            </w:pPr>
            <w:r>
              <w:rPr>
                <w:sz w:val="18"/>
              </w:rPr>
              <w:t>7</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700" w:type="dxa"/>
            <w:tcMar>
              <w:top w:w="0" w:type="dxa"/>
              <w:bottom w:w="0" w:type="dxa"/>
            </w:tcMar>
            <w:vAlign w:val="center"/>
          </w:tcPr>
          <w:p w:rsidR="00434AB5" w:rsidRDefault="00D86D94">
            <w:pPr>
              <w:keepNext/>
              <w:keepLines/>
              <w:spacing w:after="0" w:line="240" w:lineRule="auto"/>
              <w:jc w:val="right"/>
            </w:pPr>
            <w:r>
              <w:rPr>
                <w:sz w:val="18"/>
              </w:rPr>
              <w:t>-</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4</w:t>
            </w:r>
          </w:p>
        </w:tc>
        <w:tc>
          <w:tcPr>
            <w:tcW w:w="3180" w:type="dxa"/>
            <w:tcMar>
              <w:top w:w="0" w:type="dxa"/>
              <w:bottom w:w="0" w:type="dxa"/>
            </w:tcMar>
            <w:vAlign w:val="center"/>
          </w:tcPr>
          <w:p w:rsidR="00434AB5" w:rsidRDefault="00D86D94">
            <w:pPr>
              <w:keepNext/>
              <w:keepLines/>
              <w:spacing w:after="0" w:line="240" w:lineRule="auto"/>
            </w:pPr>
            <w:r>
              <w:rPr>
                <w:sz w:val="18"/>
              </w:rPr>
              <w:t xml:space="preserve">Rashodi za nabavu nefinancijske imovine (šifre </w:t>
            </w:r>
            <w:r>
              <w:rPr>
                <w:sz w:val="18"/>
              </w:rPr>
              <w:t>41+42+43+44+45)</w:t>
            </w:r>
          </w:p>
        </w:tc>
        <w:tc>
          <w:tcPr>
            <w:tcW w:w="700" w:type="dxa"/>
            <w:tcMar>
              <w:top w:w="0" w:type="dxa"/>
              <w:bottom w:w="0" w:type="dxa"/>
            </w:tcMar>
            <w:vAlign w:val="center"/>
          </w:tcPr>
          <w:p w:rsidR="00434AB5" w:rsidRDefault="00D86D94">
            <w:pPr>
              <w:keepNext/>
              <w:keepLines/>
              <w:spacing w:after="0" w:line="240" w:lineRule="auto"/>
            </w:pPr>
            <w:r>
              <w:rPr>
                <w:sz w:val="18"/>
              </w:rPr>
              <w:t>4</w:t>
            </w:r>
          </w:p>
        </w:tc>
        <w:tc>
          <w:tcPr>
            <w:tcW w:w="1860" w:type="dxa"/>
            <w:tcMar>
              <w:top w:w="0" w:type="dxa"/>
              <w:bottom w:w="0" w:type="dxa"/>
            </w:tcMar>
            <w:vAlign w:val="center"/>
          </w:tcPr>
          <w:p w:rsidR="00434AB5" w:rsidRDefault="00D86D94">
            <w:pPr>
              <w:keepNext/>
              <w:keepLines/>
              <w:spacing w:after="0" w:line="240" w:lineRule="auto"/>
              <w:jc w:val="right"/>
            </w:pPr>
            <w:r>
              <w:rPr>
                <w:sz w:val="18"/>
              </w:rPr>
              <w:t>4.587,20</w:t>
            </w:r>
          </w:p>
        </w:tc>
        <w:tc>
          <w:tcPr>
            <w:tcW w:w="1860" w:type="dxa"/>
            <w:tcMar>
              <w:top w:w="0" w:type="dxa"/>
              <w:bottom w:w="0" w:type="dxa"/>
            </w:tcMar>
            <w:vAlign w:val="center"/>
          </w:tcPr>
          <w:p w:rsidR="00434AB5" w:rsidRDefault="00D86D94">
            <w:pPr>
              <w:keepNext/>
              <w:keepLines/>
              <w:spacing w:after="0" w:line="240" w:lineRule="auto"/>
              <w:jc w:val="right"/>
            </w:pPr>
            <w:r>
              <w:rPr>
                <w:sz w:val="18"/>
              </w:rPr>
              <w:t>5.145,70</w:t>
            </w:r>
          </w:p>
        </w:tc>
        <w:tc>
          <w:tcPr>
            <w:tcW w:w="700" w:type="dxa"/>
            <w:tcMar>
              <w:top w:w="0" w:type="dxa"/>
              <w:bottom w:w="0" w:type="dxa"/>
            </w:tcMar>
            <w:vAlign w:val="center"/>
          </w:tcPr>
          <w:p w:rsidR="00434AB5" w:rsidRDefault="00D86D94">
            <w:pPr>
              <w:keepNext/>
              <w:keepLines/>
              <w:spacing w:after="0" w:line="240" w:lineRule="auto"/>
              <w:jc w:val="right"/>
            </w:pPr>
            <w:r>
              <w:rPr>
                <w:sz w:val="18"/>
              </w:rPr>
              <w:t>112,2</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434AB5">
            <w:pPr>
              <w:keepNext/>
              <w:keepLines/>
              <w:spacing w:after="0" w:line="240" w:lineRule="auto"/>
            </w:pPr>
          </w:p>
        </w:tc>
        <w:tc>
          <w:tcPr>
            <w:tcW w:w="3180" w:type="dxa"/>
            <w:tcMar>
              <w:top w:w="0" w:type="dxa"/>
              <w:bottom w:w="0" w:type="dxa"/>
            </w:tcMar>
            <w:vAlign w:val="center"/>
          </w:tcPr>
          <w:p w:rsidR="00434AB5" w:rsidRDefault="00D86D94">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434AB5" w:rsidRDefault="00D86D94">
            <w:pPr>
              <w:keepNext/>
              <w:keepLines/>
              <w:spacing w:after="0" w:line="240" w:lineRule="auto"/>
            </w:pPr>
            <w:r>
              <w:rPr>
                <w:b/>
                <w:sz w:val="18"/>
              </w:rPr>
              <w:t>Y002</w:t>
            </w:r>
          </w:p>
        </w:tc>
        <w:tc>
          <w:tcPr>
            <w:tcW w:w="1860" w:type="dxa"/>
            <w:tcMar>
              <w:top w:w="0" w:type="dxa"/>
              <w:bottom w:w="0" w:type="dxa"/>
            </w:tcMar>
            <w:vAlign w:val="center"/>
          </w:tcPr>
          <w:p w:rsidR="00434AB5" w:rsidRDefault="00D86D94">
            <w:pPr>
              <w:keepNext/>
              <w:keepLines/>
              <w:spacing w:after="0" w:line="240" w:lineRule="auto"/>
              <w:jc w:val="right"/>
            </w:pPr>
            <w:r>
              <w:rPr>
                <w:b/>
                <w:sz w:val="18"/>
              </w:rPr>
              <w:t>4.587,20</w:t>
            </w:r>
          </w:p>
        </w:tc>
        <w:tc>
          <w:tcPr>
            <w:tcW w:w="1860" w:type="dxa"/>
            <w:tcMar>
              <w:top w:w="0" w:type="dxa"/>
              <w:bottom w:w="0" w:type="dxa"/>
            </w:tcMar>
            <w:vAlign w:val="center"/>
          </w:tcPr>
          <w:p w:rsidR="00434AB5" w:rsidRDefault="00D86D94">
            <w:pPr>
              <w:keepNext/>
              <w:keepLines/>
              <w:spacing w:after="0" w:line="240" w:lineRule="auto"/>
              <w:jc w:val="right"/>
            </w:pPr>
            <w:r>
              <w:rPr>
                <w:b/>
                <w:sz w:val="18"/>
              </w:rPr>
              <w:t>5.145,70</w:t>
            </w:r>
          </w:p>
        </w:tc>
        <w:tc>
          <w:tcPr>
            <w:tcW w:w="700" w:type="dxa"/>
            <w:tcMar>
              <w:top w:w="0" w:type="dxa"/>
              <w:bottom w:w="0" w:type="dxa"/>
            </w:tcMar>
            <w:vAlign w:val="center"/>
          </w:tcPr>
          <w:p w:rsidR="00434AB5" w:rsidRDefault="00D86D94">
            <w:pPr>
              <w:keepNext/>
              <w:keepLines/>
              <w:spacing w:after="0" w:line="240" w:lineRule="auto"/>
              <w:jc w:val="right"/>
            </w:pPr>
            <w:r>
              <w:rPr>
                <w:b/>
                <w:sz w:val="18"/>
              </w:rPr>
              <w:t>112,2</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8</w:t>
            </w:r>
          </w:p>
        </w:tc>
        <w:tc>
          <w:tcPr>
            <w:tcW w:w="3180" w:type="dxa"/>
            <w:tcMar>
              <w:top w:w="0" w:type="dxa"/>
              <w:bottom w:w="0" w:type="dxa"/>
            </w:tcMar>
            <w:vAlign w:val="center"/>
          </w:tcPr>
          <w:p w:rsidR="00434AB5" w:rsidRDefault="00D86D94">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434AB5" w:rsidRDefault="00D86D94">
            <w:pPr>
              <w:keepNext/>
              <w:keepLines/>
              <w:spacing w:after="0" w:line="240" w:lineRule="auto"/>
            </w:pPr>
            <w:r>
              <w:rPr>
                <w:sz w:val="18"/>
              </w:rPr>
              <w:t>8</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700" w:type="dxa"/>
            <w:tcMar>
              <w:top w:w="0" w:type="dxa"/>
              <w:bottom w:w="0" w:type="dxa"/>
            </w:tcMar>
            <w:vAlign w:val="center"/>
          </w:tcPr>
          <w:p w:rsidR="00434AB5" w:rsidRDefault="00D86D94">
            <w:pPr>
              <w:keepNext/>
              <w:keepLines/>
              <w:spacing w:after="0" w:line="240" w:lineRule="auto"/>
              <w:jc w:val="right"/>
            </w:pPr>
            <w:r>
              <w:rPr>
                <w:sz w:val="18"/>
              </w:rPr>
              <w:t>-</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5</w:t>
            </w:r>
          </w:p>
        </w:tc>
        <w:tc>
          <w:tcPr>
            <w:tcW w:w="3180" w:type="dxa"/>
            <w:tcMar>
              <w:top w:w="0" w:type="dxa"/>
              <w:bottom w:w="0" w:type="dxa"/>
            </w:tcMar>
            <w:vAlign w:val="center"/>
          </w:tcPr>
          <w:p w:rsidR="00434AB5" w:rsidRDefault="00D86D94">
            <w:pPr>
              <w:keepNext/>
              <w:keepLines/>
              <w:spacing w:after="0" w:line="240" w:lineRule="auto"/>
            </w:pPr>
            <w:r>
              <w:rPr>
                <w:sz w:val="18"/>
              </w:rPr>
              <w:t xml:space="preserve">Izdaci za financijsku imovinu i </w:t>
            </w:r>
            <w:r>
              <w:rPr>
                <w:sz w:val="18"/>
              </w:rPr>
              <w:t>otplate zajmova (šifre 51+52+53+54+55)</w:t>
            </w:r>
          </w:p>
        </w:tc>
        <w:tc>
          <w:tcPr>
            <w:tcW w:w="700" w:type="dxa"/>
            <w:tcMar>
              <w:top w:w="0" w:type="dxa"/>
              <w:bottom w:w="0" w:type="dxa"/>
            </w:tcMar>
            <w:vAlign w:val="center"/>
          </w:tcPr>
          <w:p w:rsidR="00434AB5" w:rsidRDefault="00D86D94">
            <w:pPr>
              <w:keepNext/>
              <w:keepLines/>
              <w:spacing w:after="0" w:line="240" w:lineRule="auto"/>
            </w:pPr>
            <w:r>
              <w:rPr>
                <w:sz w:val="18"/>
              </w:rPr>
              <w:t>5</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700" w:type="dxa"/>
            <w:tcMar>
              <w:top w:w="0" w:type="dxa"/>
              <w:bottom w:w="0" w:type="dxa"/>
            </w:tcMar>
            <w:vAlign w:val="center"/>
          </w:tcPr>
          <w:p w:rsidR="00434AB5" w:rsidRDefault="00D86D94">
            <w:pPr>
              <w:keepNext/>
              <w:keepLines/>
              <w:spacing w:after="0" w:line="240" w:lineRule="auto"/>
              <w:jc w:val="right"/>
            </w:pPr>
            <w:r>
              <w:rPr>
                <w:sz w:val="18"/>
              </w:rPr>
              <w:t>-</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434AB5">
            <w:pPr>
              <w:keepNext/>
              <w:keepLines/>
              <w:spacing w:after="0" w:line="240" w:lineRule="auto"/>
            </w:pPr>
          </w:p>
        </w:tc>
        <w:tc>
          <w:tcPr>
            <w:tcW w:w="3180" w:type="dxa"/>
            <w:tcMar>
              <w:top w:w="0" w:type="dxa"/>
              <w:bottom w:w="0" w:type="dxa"/>
            </w:tcMar>
            <w:vAlign w:val="center"/>
          </w:tcPr>
          <w:p w:rsidR="00434AB5" w:rsidRDefault="00D86D94">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434AB5" w:rsidRDefault="00D86D94">
            <w:pPr>
              <w:keepNext/>
              <w:keepLines/>
              <w:spacing w:after="0" w:line="240" w:lineRule="auto"/>
            </w:pPr>
            <w:r>
              <w:rPr>
                <w:b/>
                <w:sz w:val="18"/>
              </w:rPr>
              <w:t>X003, Y003</w:t>
            </w:r>
          </w:p>
        </w:tc>
        <w:tc>
          <w:tcPr>
            <w:tcW w:w="1860" w:type="dxa"/>
            <w:tcMar>
              <w:top w:w="0" w:type="dxa"/>
              <w:bottom w:w="0" w:type="dxa"/>
            </w:tcMar>
            <w:vAlign w:val="center"/>
          </w:tcPr>
          <w:p w:rsidR="00434AB5" w:rsidRDefault="00D86D94">
            <w:pPr>
              <w:keepNext/>
              <w:keepLines/>
              <w:spacing w:after="0" w:line="240" w:lineRule="auto"/>
              <w:jc w:val="right"/>
            </w:pPr>
            <w:r>
              <w:rPr>
                <w:b/>
                <w:sz w:val="18"/>
              </w:rPr>
              <w:t>0,00</w:t>
            </w:r>
          </w:p>
        </w:tc>
        <w:tc>
          <w:tcPr>
            <w:tcW w:w="1860" w:type="dxa"/>
            <w:tcMar>
              <w:top w:w="0" w:type="dxa"/>
              <w:bottom w:w="0" w:type="dxa"/>
            </w:tcMar>
            <w:vAlign w:val="center"/>
          </w:tcPr>
          <w:p w:rsidR="00434AB5" w:rsidRDefault="00D86D94">
            <w:pPr>
              <w:keepNext/>
              <w:keepLines/>
              <w:spacing w:after="0" w:line="240" w:lineRule="auto"/>
              <w:jc w:val="right"/>
            </w:pPr>
            <w:r>
              <w:rPr>
                <w:b/>
                <w:sz w:val="18"/>
              </w:rPr>
              <w:t>0,00</w:t>
            </w:r>
          </w:p>
        </w:tc>
        <w:tc>
          <w:tcPr>
            <w:tcW w:w="700" w:type="dxa"/>
            <w:tcMar>
              <w:top w:w="0" w:type="dxa"/>
              <w:bottom w:w="0" w:type="dxa"/>
            </w:tcMar>
            <w:vAlign w:val="center"/>
          </w:tcPr>
          <w:p w:rsidR="00434AB5" w:rsidRDefault="00D86D94">
            <w:pPr>
              <w:keepNext/>
              <w:keepLines/>
              <w:spacing w:after="0" w:line="240" w:lineRule="auto"/>
              <w:jc w:val="right"/>
            </w:pPr>
            <w:r>
              <w:rPr>
                <w:b/>
                <w:sz w:val="18"/>
              </w:rPr>
              <w:t>-</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434AB5">
            <w:pPr>
              <w:keepNext/>
              <w:keepLines/>
              <w:spacing w:after="0" w:line="240" w:lineRule="auto"/>
            </w:pPr>
          </w:p>
        </w:tc>
        <w:tc>
          <w:tcPr>
            <w:tcW w:w="3180" w:type="dxa"/>
            <w:tcMar>
              <w:top w:w="0" w:type="dxa"/>
              <w:bottom w:w="0" w:type="dxa"/>
            </w:tcMar>
            <w:vAlign w:val="center"/>
          </w:tcPr>
          <w:p w:rsidR="00434AB5" w:rsidRDefault="00D86D94">
            <w:pPr>
              <w:keepNext/>
              <w:keepLines/>
              <w:spacing w:after="0" w:line="240" w:lineRule="auto"/>
            </w:pPr>
            <w:r>
              <w:rPr>
                <w:b/>
                <w:sz w:val="18"/>
              </w:rPr>
              <w:t>MANJAK PRIHODA I PRIMITAKA (šifre Y345-X678)</w:t>
            </w:r>
          </w:p>
        </w:tc>
        <w:tc>
          <w:tcPr>
            <w:tcW w:w="700" w:type="dxa"/>
            <w:tcMar>
              <w:top w:w="0" w:type="dxa"/>
              <w:bottom w:w="0" w:type="dxa"/>
            </w:tcMar>
            <w:vAlign w:val="center"/>
          </w:tcPr>
          <w:p w:rsidR="00434AB5" w:rsidRDefault="00D86D94">
            <w:pPr>
              <w:keepNext/>
              <w:keepLines/>
              <w:spacing w:after="0" w:line="240" w:lineRule="auto"/>
            </w:pPr>
            <w:r>
              <w:rPr>
                <w:b/>
                <w:sz w:val="18"/>
              </w:rPr>
              <w:t>Y005</w:t>
            </w:r>
          </w:p>
        </w:tc>
        <w:tc>
          <w:tcPr>
            <w:tcW w:w="1860" w:type="dxa"/>
            <w:tcMar>
              <w:top w:w="0" w:type="dxa"/>
              <w:bottom w:w="0" w:type="dxa"/>
            </w:tcMar>
            <w:vAlign w:val="center"/>
          </w:tcPr>
          <w:p w:rsidR="00434AB5" w:rsidRDefault="00D86D94">
            <w:pPr>
              <w:keepNext/>
              <w:keepLines/>
              <w:spacing w:after="0" w:line="240" w:lineRule="auto"/>
              <w:jc w:val="right"/>
            </w:pPr>
            <w:r>
              <w:rPr>
                <w:b/>
                <w:sz w:val="18"/>
              </w:rPr>
              <w:t>0,00</w:t>
            </w:r>
          </w:p>
        </w:tc>
        <w:tc>
          <w:tcPr>
            <w:tcW w:w="1860" w:type="dxa"/>
            <w:tcMar>
              <w:top w:w="0" w:type="dxa"/>
              <w:bottom w:w="0" w:type="dxa"/>
            </w:tcMar>
            <w:vAlign w:val="center"/>
          </w:tcPr>
          <w:p w:rsidR="00434AB5" w:rsidRDefault="00D86D94">
            <w:pPr>
              <w:keepNext/>
              <w:keepLines/>
              <w:spacing w:after="0" w:line="240" w:lineRule="auto"/>
              <w:jc w:val="right"/>
            </w:pPr>
            <w:r>
              <w:rPr>
                <w:b/>
                <w:sz w:val="18"/>
              </w:rPr>
              <w:t>105.616,90</w:t>
            </w:r>
          </w:p>
        </w:tc>
        <w:tc>
          <w:tcPr>
            <w:tcW w:w="700" w:type="dxa"/>
            <w:tcMar>
              <w:top w:w="0" w:type="dxa"/>
              <w:bottom w:w="0" w:type="dxa"/>
            </w:tcMar>
            <w:vAlign w:val="center"/>
          </w:tcPr>
          <w:p w:rsidR="00434AB5" w:rsidRDefault="00D86D94">
            <w:pPr>
              <w:keepNext/>
              <w:keepLines/>
              <w:spacing w:after="0" w:line="240" w:lineRule="auto"/>
              <w:jc w:val="right"/>
            </w:pPr>
            <w:r>
              <w:rPr>
                <w:b/>
                <w:sz w:val="18"/>
              </w:rPr>
              <w:t>-</w:t>
            </w:r>
          </w:p>
        </w:tc>
      </w:tr>
    </w:tbl>
    <w:p w:rsidR="00434AB5" w:rsidRDefault="00434AB5">
      <w:pPr>
        <w:spacing w:after="0"/>
      </w:pPr>
    </w:p>
    <w:p w:rsidR="00434AB5" w:rsidRDefault="00D86D94">
      <w:pPr>
        <w:spacing w:line="240" w:lineRule="auto"/>
        <w:jc w:val="both"/>
      </w:pPr>
      <w:r>
        <w:t xml:space="preserve">Ukupni prihodi Osnovne </w:t>
      </w:r>
      <w:r>
        <w:t>škole Montovjerna za razdoblje 01.01.2025. - 30.06.2025. iznose 975.568,34 eur, a ukupni rashodi 1.081.185,24 eur.   Manjak prihoda poslovanja u 2025. godini predstavlja metodološki manjak, a koji se odnosi na plaće za lipanj i prehranu za svibanj, za koji</w:t>
      </w:r>
      <w:r>
        <w:t xml:space="preserve"> je nadležni proračun uplatio sredstva kroz srpanj 2025. godine.</w:t>
      </w:r>
    </w:p>
    <w:p w:rsidR="00434AB5" w:rsidRDefault="00D86D94">
      <w:r>
        <w:lastRenderedPageBreak/>
        <w:br/>
      </w:r>
    </w:p>
    <w:p w:rsidR="00434AB5" w:rsidRDefault="00D86D94">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63</w:t>
            </w:r>
          </w:p>
        </w:tc>
        <w:tc>
          <w:tcPr>
            <w:tcW w:w="3180" w:type="dxa"/>
            <w:tcMar>
              <w:top w:w="0" w:type="dxa"/>
              <w:bottom w:w="0" w:type="dxa"/>
            </w:tcMar>
            <w:vAlign w:val="center"/>
          </w:tcPr>
          <w:p w:rsidR="00434AB5" w:rsidRDefault="00D86D94">
            <w:pPr>
              <w:keepNext/>
              <w:keepLines/>
              <w:spacing w:after="0" w:line="240" w:lineRule="auto"/>
            </w:pPr>
            <w:r>
              <w:rPr>
                <w:sz w:val="18"/>
              </w:rPr>
              <w:t xml:space="preserve">Pomoći iz </w:t>
            </w:r>
            <w:r>
              <w:rPr>
                <w:sz w:val="18"/>
              </w:rPr>
              <w:t>inozemstva i od subjekata unutar općeg proračuna (šifre 631+632+633+634+635+636+637+638+639)</w:t>
            </w:r>
          </w:p>
        </w:tc>
        <w:tc>
          <w:tcPr>
            <w:tcW w:w="700" w:type="dxa"/>
            <w:tcMar>
              <w:top w:w="0" w:type="dxa"/>
              <w:bottom w:w="0" w:type="dxa"/>
            </w:tcMar>
            <w:vAlign w:val="center"/>
          </w:tcPr>
          <w:p w:rsidR="00434AB5" w:rsidRDefault="00D86D94">
            <w:pPr>
              <w:keepNext/>
              <w:keepLines/>
              <w:spacing w:after="0" w:line="240" w:lineRule="auto"/>
            </w:pPr>
            <w:r>
              <w:rPr>
                <w:sz w:val="18"/>
              </w:rPr>
              <w:t>63</w:t>
            </w:r>
          </w:p>
        </w:tc>
        <w:tc>
          <w:tcPr>
            <w:tcW w:w="1860" w:type="dxa"/>
            <w:tcMar>
              <w:top w:w="0" w:type="dxa"/>
              <w:bottom w:w="0" w:type="dxa"/>
            </w:tcMar>
            <w:vAlign w:val="center"/>
          </w:tcPr>
          <w:p w:rsidR="00434AB5" w:rsidRDefault="00D86D94">
            <w:pPr>
              <w:keepNext/>
              <w:keepLines/>
              <w:spacing w:after="0" w:line="240" w:lineRule="auto"/>
              <w:jc w:val="right"/>
            </w:pPr>
            <w:r>
              <w:rPr>
                <w:sz w:val="18"/>
              </w:rPr>
              <w:t>612.473,73</w:t>
            </w:r>
          </w:p>
        </w:tc>
        <w:tc>
          <w:tcPr>
            <w:tcW w:w="1860" w:type="dxa"/>
            <w:tcMar>
              <w:top w:w="0" w:type="dxa"/>
              <w:bottom w:w="0" w:type="dxa"/>
            </w:tcMar>
            <w:vAlign w:val="center"/>
          </w:tcPr>
          <w:p w:rsidR="00434AB5" w:rsidRDefault="00D86D94">
            <w:pPr>
              <w:keepNext/>
              <w:keepLines/>
              <w:spacing w:after="0" w:line="240" w:lineRule="auto"/>
              <w:jc w:val="right"/>
            </w:pPr>
            <w:r>
              <w:rPr>
                <w:sz w:val="18"/>
              </w:rPr>
              <w:t>684.178,79</w:t>
            </w:r>
          </w:p>
        </w:tc>
        <w:tc>
          <w:tcPr>
            <w:tcW w:w="700" w:type="dxa"/>
            <w:tcMar>
              <w:top w:w="0" w:type="dxa"/>
              <w:bottom w:w="0" w:type="dxa"/>
            </w:tcMar>
            <w:vAlign w:val="center"/>
          </w:tcPr>
          <w:p w:rsidR="00434AB5" w:rsidRDefault="00D86D94">
            <w:pPr>
              <w:keepNext/>
              <w:keepLines/>
              <w:spacing w:after="0" w:line="240" w:lineRule="auto"/>
              <w:jc w:val="right"/>
            </w:pPr>
            <w:r>
              <w:rPr>
                <w:sz w:val="18"/>
              </w:rPr>
              <w:t>111,7</w:t>
            </w:r>
          </w:p>
        </w:tc>
      </w:tr>
    </w:tbl>
    <w:p w:rsidR="00434AB5" w:rsidRDefault="00434AB5">
      <w:pPr>
        <w:spacing w:after="0"/>
      </w:pPr>
    </w:p>
    <w:p w:rsidR="00434AB5" w:rsidRDefault="00D86D94">
      <w:pPr>
        <w:spacing w:line="240" w:lineRule="auto"/>
        <w:jc w:val="both"/>
      </w:pPr>
      <w:r>
        <w:t xml:space="preserve">Zabilježen je porast prihoda zbog povećanja osnovice za izračun plaće službenika i namještenika u 2025. godini (947,18 eura </w:t>
      </w:r>
      <w:r>
        <w:t>bruto za razdoblje od 1. siječnja 2025. do 31. siječnja 2025. godine, 975,60 eura bruto od 1. veljače 2025. do 31. kolovoza 2025. godine te 1004,87 eura bruto od 1. rujna 2025.)</w:t>
      </w:r>
    </w:p>
    <w:p w:rsidR="00434AB5" w:rsidRDefault="00434AB5"/>
    <w:p w:rsidR="00434AB5" w:rsidRDefault="00D86D94">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w:t>
            </w:r>
            <w:r>
              <w:rPr>
                <w:b/>
                <w:sz w:val="18"/>
              </w:rPr>
              <w:t>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6331</w:t>
            </w:r>
          </w:p>
        </w:tc>
        <w:tc>
          <w:tcPr>
            <w:tcW w:w="3180" w:type="dxa"/>
            <w:tcMar>
              <w:top w:w="0" w:type="dxa"/>
              <w:bottom w:w="0" w:type="dxa"/>
            </w:tcMar>
            <w:vAlign w:val="center"/>
          </w:tcPr>
          <w:p w:rsidR="00434AB5" w:rsidRDefault="00D86D94">
            <w:pPr>
              <w:keepNext/>
              <w:keepLines/>
              <w:spacing w:after="0" w:line="240" w:lineRule="auto"/>
            </w:pPr>
            <w:r>
              <w:rPr>
                <w:sz w:val="18"/>
              </w:rPr>
              <w:t>Tekuće pomoći proračunu i izvanproračunskim korisnicima iz drugih proračuna</w:t>
            </w:r>
          </w:p>
        </w:tc>
        <w:tc>
          <w:tcPr>
            <w:tcW w:w="700" w:type="dxa"/>
            <w:tcMar>
              <w:top w:w="0" w:type="dxa"/>
              <w:bottom w:w="0" w:type="dxa"/>
            </w:tcMar>
            <w:vAlign w:val="center"/>
          </w:tcPr>
          <w:p w:rsidR="00434AB5" w:rsidRDefault="00D86D94">
            <w:pPr>
              <w:keepNext/>
              <w:keepLines/>
              <w:spacing w:after="0" w:line="240" w:lineRule="auto"/>
            </w:pPr>
            <w:r>
              <w:rPr>
                <w:sz w:val="18"/>
              </w:rPr>
              <w:t>6331</w:t>
            </w:r>
          </w:p>
        </w:tc>
        <w:tc>
          <w:tcPr>
            <w:tcW w:w="1860" w:type="dxa"/>
            <w:tcMar>
              <w:top w:w="0" w:type="dxa"/>
              <w:bottom w:w="0" w:type="dxa"/>
            </w:tcMar>
            <w:vAlign w:val="center"/>
          </w:tcPr>
          <w:p w:rsidR="00434AB5" w:rsidRDefault="00D86D94">
            <w:pPr>
              <w:keepNext/>
              <w:keepLines/>
              <w:spacing w:after="0" w:line="240" w:lineRule="auto"/>
              <w:jc w:val="right"/>
            </w:pPr>
            <w:r>
              <w:rPr>
                <w:sz w:val="18"/>
              </w:rPr>
              <w:t>1.343,26</w:t>
            </w:r>
          </w:p>
        </w:tc>
        <w:tc>
          <w:tcPr>
            <w:tcW w:w="1860" w:type="dxa"/>
            <w:tcMar>
              <w:top w:w="0" w:type="dxa"/>
              <w:bottom w:w="0" w:type="dxa"/>
            </w:tcMar>
            <w:vAlign w:val="center"/>
          </w:tcPr>
          <w:p w:rsidR="00434AB5" w:rsidRDefault="00D86D94">
            <w:pPr>
              <w:keepNext/>
              <w:keepLines/>
              <w:spacing w:after="0" w:line="240" w:lineRule="auto"/>
              <w:jc w:val="right"/>
            </w:pPr>
            <w:r>
              <w:rPr>
                <w:sz w:val="18"/>
              </w:rPr>
              <w:t>2.677,38</w:t>
            </w:r>
          </w:p>
        </w:tc>
        <w:tc>
          <w:tcPr>
            <w:tcW w:w="700" w:type="dxa"/>
            <w:tcMar>
              <w:top w:w="0" w:type="dxa"/>
              <w:bottom w:w="0" w:type="dxa"/>
            </w:tcMar>
            <w:vAlign w:val="center"/>
          </w:tcPr>
          <w:p w:rsidR="00434AB5" w:rsidRDefault="00D86D94">
            <w:pPr>
              <w:keepNext/>
              <w:keepLines/>
              <w:spacing w:after="0" w:line="240" w:lineRule="auto"/>
              <w:jc w:val="right"/>
            </w:pPr>
            <w:r>
              <w:rPr>
                <w:sz w:val="18"/>
              </w:rPr>
              <w:t>199,3</w:t>
            </w:r>
          </w:p>
        </w:tc>
      </w:tr>
    </w:tbl>
    <w:p w:rsidR="00434AB5" w:rsidRDefault="00434AB5">
      <w:pPr>
        <w:spacing w:after="0"/>
      </w:pPr>
    </w:p>
    <w:p w:rsidR="00434AB5" w:rsidRDefault="00D86D94">
      <w:pPr>
        <w:spacing w:line="240" w:lineRule="auto"/>
        <w:jc w:val="both"/>
      </w:pPr>
      <w:r>
        <w:t xml:space="preserve">Veći prihodi od Županije za organizaciju </w:t>
      </w:r>
      <w:r>
        <w:t>županijskog natjecanja iz geografije.</w:t>
      </w:r>
    </w:p>
    <w:p w:rsidR="00434AB5" w:rsidRDefault="00434AB5"/>
    <w:p w:rsidR="00434AB5" w:rsidRDefault="00D86D94">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66</w:t>
            </w:r>
          </w:p>
        </w:tc>
        <w:tc>
          <w:tcPr>
            <w:tcW w:w="3180" w:type="dxa"/>
            <w:tcMar>
              <w:top w:w="0" w:type="dxa"/>
              <w:bottom w:w="0" w:type="dxa"/>
            </w:tcMar>
            <w:vAlign w:val="center"/>
          </w:tcPr>
          <w:p w:rsidR="00434AB5" w:rsidRDefault="00D86D94">
            <w:pPr>
              <w:keepNext/>
              <w:keepLines/>
              <w:spacing w:after="0" w:line="240" w:lineRule="auto"/>
            </w:pPr>
            <w:r>
              <w:rPr>
                <w:sz w:val="18"/>
              </w:rPr>
              <w:t xml:space="preserve">Prihodi od prodaje proizvoda i robe te </w:t>
            </w:r>
            <w:r>
              <w:rPr>
                <w:sz w:val="18"/>
              </w:rPr>
              <w:t>pruženih usluga, prihodi od donacija te povrati po protestiranim jamstvima (šifre 661+663)</w:t>
            </w:r>
          </w:p>
        </w:tc>
        <w:tc>
          <w:tcPr>
            <w:tcW w:w="700" w:type="dxa"/>
            <w:tcMar>
              <w:top w:w="0" w:type="dxa"/>
              <w:bottom w:w="0" w:type="dxa"/>
            </w:tcMar>
            <w:vAlign w:val="center"/>
          </w:tcPr>
          <w:p w:rsidR="00434AB5" w:rsidRDefault="00D86D94">
            <w:pPr>
              <w:keepNext/>
              <w:keepLines/>
              <w:spacing w:after="0" w:line="240" w:lineRule="auto"/>
            </w:pPr>
            <w:r>
              <w:rPr>
                <w:sz w:val="18"/>
              </w:rPr>
              <w:t>66</w:t>
            </w:r>
          </w:p>
        </w:tc>
        <w:tc>
          <w:tcPr>
            <w:tcW w:w="1860" w:type="dxa"/>
            <w:tcMar>
              <w:top w:w="0" w:type="dxa"/>
              <w:bottom w:w="0" w:type="dxa"/>
            </w:tcMar>
            <w:vAlign w:val="center"/>
          </w:tcPr>
          <w:p w:rsidR="00434AB5" w:rsidRDefault="00D86D94">
            <w:pPr>
              <w:keepNext/>
              <w:keepLines/>
              <w:spacing w:after="0" w:line="240" w:lineRule="auto"/>
              <w:jc w:val="right"/>
            </w:pPr>
            <w:r>
              <w:rPr>
                <w:sz w:val="18"/>
              </w:rPr>
              <w:t>811,00</w:t>
            </w:r>
          </w:p>
        </w:tc>
        <w:tc>
          <w:tcPr>
            <w:tcW w:w="1860" w:type="dxa"/>
            <w:tcMar>
              <w:top w:w="0" w:type="dxa"/>
              <w:bottom w:w="0" w:type="dxa"/>
            </w:tcMar>
            <w:vAlign w:val="center"/>
          </w:tcPr>
          <w:p w:rsidR="00434AB5" w:rsidRDefault="00D86D94">
            <w:pPr>
              <w:keepNext/>
              <w:keepLines/>
              <w:spacing w:after="0" w:line="240" w:lineRule="auto"/>
              <w:jc w:val="right"/>
            </w:pPr>
            <w:r>
              <w:rPr>
                <w:sz w:val="18"/>
              </w:rPr>
              <w:t>5.092,16</w:t>
            </w:r>
          </w:p>
        </w:tc>
        <w:tc>
          <w:tcPr>
            <w:tcW w:w="700" w:type="dxa"/>
            <w:tcMar>
              <w:top w:w="0" w:type="dxa"/>
              <w:bottom w:w="0" w:type="dxa"/>
            </w:tcMar>
            <w:vAlign w:val="center"/>
          </w:tcPr>
          <w:p w:rsidR="00434AB5" w:rsidRDefault="00D86D94">
            <w:pPr>
              <w:keepNext/>
              <w:keepLines/>
              <w:spacing w:after="0" w:line="240" w:lineRule="auto"/>
              <w:jc w:val="right"/>
            </w:pPr>
            <w:r>
              <w:rPr>
                <w:sz w:val="18"/>
              </w:rPr>
              <w:t>627,9</w:t>
            </w:r>
          </w:p>
        </w:tc>
      </w:tr>
    </w:tbl>
    <w:p w:rsidR="00434AB5" w:rsidRDefault="00434AB5">
      <w:pPr>
        <w:spacing w:after="0"/>
      </w:pPr>
    </w:p>
    <w:p w:rsidR="00434AB5" w:rsidRDefault="00D86D94">
      <w:pPr>
        <w:spacing w:line="240" w:lineRule="auto"/>
        <w:jc w:val="both"/>
      </w:pPr>
      <w:r>
        <w:t xml:space="preserve">Ostvarena je donacija u svrhu podmirenja redovnih troškova poslovanja (Rotary Klub) te donacija u sklopu projekta </w:t>
      </w:r>
      <w:r>
        <w:t>Participativno budžetiranje (DURA).</w:t>
      </w:r>
    </w:p>
    <w:p w:rsidR="00434AB5" w:rsidRDefault="00434AB5"/>
    <w:p w:rsidR="00434AB5" w:rsidRDefault="00D86D94">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31</w:t>
            </w:r>
          </w:p>
        </w:tc>
        <w:tc>
          <w:tcPr>
            <w:tcW w:w="3180" w:type="dxa"/>
            <w:tcMar>
              <w:top w:w="0" w:type="dxa"/>
              <w:bottom w:w="0" w:type="dxa"/>
            </w:tcMar>
            <w:vAlign w:val="center"/>
          </w:tcPr>
          <w:p w:rsidR="00434AB5" w:rsidRDefault="00D86D94">
            <w:pPr>
              <w:keepNext/>
              <w:keepLines/>
              <w:spacing w:after="0" w:line="240" w:lineRule="auto"/>
            </w:pPr>
            <w:r>
              <w:rPr>
                <w:sz w:val="18"/>
              </w:rPr>
              <w:t>Rashodi za zaposlene (šifre 311+312+313)</w:t>
            </w:r>
          </w:p>
        </w:tc>
        <w:tc>
          <w:tcPr>
            <w:tcW w:w="700" w:type="dxa"/>
            <w:tcMar>
              <w:top w:w="0" w:type="dxa"/>
              <w:bottom w:w="0" w:type="dxa"/>
            </w:tcMar>
            <w:vAlign w:val="center"/>
          </w:tcPr>
          <w:p w:rsidR="00434AB5" w:rsidRDefault="00D86D94">
            <w:pPr>
              <w:keepNext/>
              <w:keepLines/>
              <w:spacing w:after="0" w:line="240" w:lineRule="auto"/>
            </w:pPr>
            <w:r>
              <w:rPr>
                <w:sz w:val="18"/>
              </w:rPr>
              <w:t>31</w:t>
            </w:r>
          </w:p>
        </w:tc>
        <w:tc>
          <w:tcPr>
            <w:tcW w:w="1860" w:type="dxa"/>
            <w:tcMar>
              <w:top w:w="0" w:type="dxa"/>
              <w:bottom w:w="0" w:type="dxa"/>
            </w:tcMar>
            <w:vAlign w:val="center"/>
          </w:tcPr>
          <w:p w:rsidR="00434AB5" w:rsidRDefault="00D86D94">
            <w:pPr>
              <w:keepNext/>
              <w:keepLines/>
              <w:spacing w:after="0" w:line="240" w:lineRule="auto"/>
              <w:jc w:val="right"/>
            </w:pPr>
            <w:r>
              <w:rPr>
                <w:sz w:val="18"/>
              </w:rPr>
              <w:t>680.973,95</w:t>
            </w:r>
          </w:p>
        </w:tc>
        <w:tc>
          <w:tcPr>
            <w:tcW w:w="1860" w:type="dxa"/>
            <w:tcMar>
              <w:top w:w="0" w:type="dxa"/>
              <w:bottom w:w="0" w:type="dxa"/>
            </w:tcMar>
            <w:vAlign w:val="center"/>
          </w:tcPr>
          <w:p w:rsidR="00434AB5" w:rsidRDefault="00D86D94">
            <w:pPr>
              <w:keepNext/>
              <w:keepLines/>
              <w:spacing w:after="0" w:line="240" w:lineRule="auto"/>
              <w:jc w:val="right"/>
            </w:pPr>
            <w:r>
              <w:rPr>
                <w:sz w:val="18"/>
              </w:rPr>
              <w:t>865.673,50</w:t>
            </w:r>
          </w:p>
        </w:tc>
        <w:tc>
          <w:tcPr>
            <w:tcW w:w="700" w:type="dxa"/>
            <w:tcMar>
              <w:top w:w="0" w:type="dxa"/>
              <w:bottom w:w="0" w:type="dxa"/>
            </w:tcMar>
            <w:vAlign w:val="center"/>
          </w:tcPr>
          <w:p w:rsidR="00434AB5" w:rsidRDefault="00D86D94">
            <w:pPr>
              <w:keepNext/>
              <w:keepLines/>
              <w:spacing w:after="0" w:line="240" w:lineRule="auto"/>
              <w:jc w:val="right"/>
            </w:pPr>
            <w:r>
              <w:rPr>
                <w:sz w:val="18"/>
              </w:rPr>
              <w:t>127,1</w:t>
            </w:r>
          </w:p>
        </w:tc>
      </w:tr>
    </w:tbl>
    <w:p w:rsidR="00434AB5" w:rsidRDefault="00434AB5">
      <w:pPr>
        <w:spacing w:after="0"/>
      </w:pPr>
    </w:p>
    <w:p w:rsidR="00434AB5" w:rsidRDefault="00D86D94">
      <w:pPr>
        <w:spacing w:line="240" w:lineRule="auto"/>
        <w:jc w:val="both"/>
      </w:pPr>
      <w:r>
        <w:t>Povećanje troškova za zaposlene zbog povećanja osnovice za obračun plaće u 2025. godini</w:t>
      </w:r>
    </w:p>
    <w:p w:rsidR="00434AB5" w:rsidRDefault="00434AB5"/>
    <w:p w:rsidR="00434AB5" w:rsidRDefault="00D86D94">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3213</w:t>
            </w:r>
          </w:p>
        </w:tc>
        <w:tc>
          <w:tcPr>
            <w:tcW w:w="3180" w:type="dxa"/>
            <w:tcMar>
              <w:top w:w="0" w:type="dxa"/>
              <w:bottom w:w="0" w:type="dxa"/>
            </w:tcMar>
            <w:vAlign w:val="center"/>
          </w:tcPr>
          <w:p w:rsidR="00434AB5" w:rsidRDefault="00D86D94">
            <w:pPr>
              <w:keepNext/>
              <w:keepLines/>
              <w:spacing w:after="0" w:line="240" w:lineRule="auto"/>
            </w:pPr>
            <w:r>
              <w:rPr>
                <w:sz w:val="18"/>
              </w:rPr>
              <w:t>Stručno usavršavanje zaposlenika</w:t>
            </w:r>
          </w:p>
        </w:tc>
        <w:tc>
          <w:tcPr>
            <w:tcW w:w="700" w:type="dxa"/>
            <w:tcMar>
              <w:top w:w="0" w:type="dxa"/>
              <w:bottom w:w="0" w:type="dxa"/>
            </w:tcMar>
            <w:vAlign w:val="center"/>
          </w:tcPr>
          <w:p w:rsidR="00434AB5" w:rsidRDefault="00D86D94">
            <w:pPr>
              <w:keepNext/>
              <w:keepLines/>
              <w:spacing w:after="0" w:line="240" w:lineRule="auto"/>
            </w:pPr>
            <w:r>
              <w:rPr>
                <w:sz w:val="18"/>
              </w:rPr>
              <w:t>3213</w:t>
            </w:r>
          </w:p>
        </w:tc>
        <w:tc>
          <w:tcPr>
            <w:tcW w:w="1860" w:type="dxa"/>
            <w:tcMar>
              <w:top w:w="0" w:type="dxa"/>
              <w:bottom w:w="0" w:type="dxa"/>
            </w:tcMar>
            <w:vAlign w:val="center"/>
          </w:tcPr>
          <w:p w:rsidR="00434AB5" w:rsidRDefault="00D86D94">
            <w:pPr>
              <w:keepNext/>
              <w:keepLines/>
              <w:spacing w:after="0" w:line="240" w:lineRule="auto"/>
              <w:jc w:val="right"/>
            </w:pPr>
            <w:r>
              <w:rPr>
                <w:sz w:val="18"/>
              </w:rPr>
              <w:t>1.325,00</w:t>
            </w:r>
          </w:p>
        </w:tc>
        <w:tc>
          <w:tcPr>
            <w:tcW w:w="1860" w:type="dxa"/>
            <w:tcMar>
              <w:top w:w="0" w:type="dxa"/>
              <w:bottom w:w="0" w:type="dxa"/>
            </w:tcMar>
            <w:vAlign w:val="center"/>
          </w:tcPr>
          <w:p w:rsidR="00434AB5" w:rsidRDefault="00D86D94">
            <w:pPr>
              <w:keepNext/>
              <w:keepLines/>
              <w:spacing w:after="0" w:line="240" w:lineRule="auto"/>
              <w:jc w:val="right"/>
            </w:pPr>
            <w:r>
              <w:rPr>
                <w:sz w:val="18"/>
              </w:rPr>
              <w:t>245,00</w:t>
            </w:r>
          </w:p>
        </w:tc>
        <w:tc>
          <w:tcPr>
            <w:tcW w:w="700" w:type="dxa"/>
            <w:tcMar>
              <w:top w:w="0" w:type="dxa"/>
              <w:bottom w:w="0" w:type="dxa"/>
            </w:tcMar>
            <w:vAlign w:val="center"/>
          </w:tcPr>
          <w:p w:rsidR="00434AB5" w:rsidRDefault="00D86D94">
            <w:pPr>
              <w:keepNext/>
              <w:keepLines/>
              <w:spacing w:after="0" w:line="240" w:lineRule="auto"/>
              <w:jc w:val="right"/>
            </w:pPr>
            <w:r>
              <w:rPr>
                <w:sz w:val="18"/>
              </w:rPr>
              <w:t>18,5</w:t>
            </w:r>
          </w:p>
        </w:tc>
      </w:tr>
    </w:tbl>
    <w:p w:rsidR="00434AB5" w:rsidRDefault="00434AB5">
      <w:pPr>
        <w:spacing w:after="0"/>
      </w:pPr>
    </w:p>
    <w:p w:rsidR="00434AB5" w:rsidRDefault="00D86D94">
      <w:pPr>
        <w:spacing w:line="240" w:lineRule="auto"/>
        <w:jc w:val="both"/>
      </w:pPr>
      <w:r>
        <w:t>Smanjenje za troškove stručnog usavršavanja zbog manjeg interesa zaposlenih.</w:t>
      </w:r>
    </w:p>
    <w:p w:rsidR="00434AB5" w:rsidRDefault="00434AB5"/>
    <w:p w:rsidR="00434AB5" w:rsidRDefault="00D86D94">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3224</w:t>
            </w:r>
          </w:p>
        </w:tc>
        <w:tc>
          <w:tcPr>
            <w:tcW w:w="3180" w:type="dxa"/>
            <w:tcMar>
              <w:top w:w="0" w:type="dxa"/>
              <w:bottom w:w="0" w:type="dxa"/>
            </w:tcMar>
            <w:vAlign w:val="center"/>
          </w:tcPr>
          <w:p w:rsidR="00434AB5" w:rsidRDefault="00D86D94">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434AB5" w:rsidRDefault="00D86D94">
            <w:pPr>
              <w:keepNext/>
              <w:keepLines/>
              <w:spacing w:after="0" w:line="240" w:lineRule="auto"/>
            </w:pPr>
            <w:r>
              <w:rPr>
                <w:sz w:val="18"/>
              </w:rPr>
              <w:t>3224</w:t>
            </w:r>
          </w:p>
        </w:tc>
        <w:tc>
          <w:tcPr>
            <w:tcW w:w="1860" w:type="dxa"/>
            <w:tcMar>
              <w:top w:w="0" w:type="dxa"/>
              <w:bottom w:w="0" w:type="dxa"/>
            </w:tcMar>
            <w:vAlign w:val="center"/>
          </w:tcPr>
          <w:p w:rsidR="00434AB5" w:rsidRDefault="00D86D94">
            <w:pPr>
              <w:keepNext/>
              <w:keepLines/>
              <w:spacing w:after="0" w:line="240" w:lineRule="auto"/>
              <w:jc w:val="right"/>
            </w:pPr>
            <w:r>
              <w:rPr>
                <w:sz w:val="18"/>
              </w:rPr>
              <w:t>675,78</w:t>
            </w:r>
          </w:p>
        </w:tc>
        <w:tc>
          <w:tcPr>
            <w:tcW w:w="1860" w:type="dxa"/>
            <w:tcMar>
              <w:top w:w="0" w:type="dxa"/>
              <w:bottom w:w="0" w:type="dxa"/>
            </w:tcMar>
            <w:vAlign w:val="center"/>
          </w:tcPr>
          <w:p w:rsidR="00434AB5" w:rsidRDefault="00D86D94">
            <w:pPr>
              <w:keepNext/>
              <w:keepLines/>
              <w:spacing w:after="0" w:line="240" w:lineRule="auto"/>
              <w:jc w:val="right"/>
            </w:pPr>
            <w:r>
              <w:rPr>
                <w:sz w:val="18"/>
              </w:rPr>
              <w:t>1.273,73</w:t>
            </w:r>
          </w:p>
        </w:tc>
        <w:tc>
          <w:tcPr>
            <w:tcW w:w="700" w:type="dxa"/>
            <w:tcMar>
              <w:top w:w="0" w:type="dxa"/>
              <w:bottom w:w="0" w:type="dxa"/>
            </w:tcMar>
            <w:vAlign w:val="center"/>
          </w:tcPr>
          <w:p w:rsidR="00434AB5" w:rsidRDefault="00D86D94">
            <w:pPr>
              <w:keepNext/>
              <w:keepLines/>
              <w:spacing w:after="0" w:line="240" w:lineRule="auto"/>
              <w:jc w:val="right"/>
            </w:pPr>
            <w:r>
              <w:rPr>
                <w:sz w:val="18"/>
              </w:rPr>
              <w:t>188,5</w:t>
            </w:r>
          </w:p>
        </w:tc>
      </w:tr>
    </w:tbl>
    <w:p w:rsidR="00434AB5" w:rsidRDefault="00434AB5">
      <w:pPr>
        <w:spacing w:after="0"/>
      </w:pPr>
    </w:p>
    <w:p w:rsidR="00434AB5" w:rsidRDefault="00D86D94">
      <w:pPr>
        <w:spacing w:line="240" w:lineRule="auto"/>
        <w:jc w:val="both"/>
      </w:pPr>
      <w:r>
        <w:t xml:space="preserve">Povećanje troškova za Materijal za tekuće i </w:t>
      </w:r>
      <w:r>
        <w:t>investicijsko održavanje uslijed redovnog održavanja školske zgrade.</w:t>
      </w:r>
    </w:p>
    <w:p w:rsidR="00434AB5" w:rsidRDefault="00434AB5"/>
    <w:p w:rsidR="00434AB5" w:rsidRDefault="00D86D94">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3227</w:t>
            </w:r>
          </w:p>
        </w:tc>
        <w:tc>
          <w:tcPr>
            <w:tcW w:w="3180" w:type="dxa"/>
            <w:tcMar>
              <w:top w:w="0" w:type="dxa"/>
              <w:bottom w:w="0" w:type="dxa"/>
            </w:tcMar>
            <w:vAlign w:val="center"/>
          </w:tcPr>
          <w:p w:rsidR="00434AB5" w:rsidRDefault="00D86D94">
            <w:pPr>
              <w:keepNext/>
              <w:keepLines/>
              <w:spacing w:after="0" w:line="240" w:lineRule="auto"/>
            </w:pPr>
            <w:r>
              <w:rPr>
                <w:sz w:val="18"/>
              </w:rPr>
              <w:t xml:space="preserve">Službena, </w:t>
            </w:r>
            <w:r>
              <w:rPr>
                <w:sz w:val="18"/>
              </w:rPr>
              <w:t>radna i zaštitna odjeća i obuća</w:t>
            </w:r>
          </w:p>
        </w:tc>
        <w:tc>
          <w:tcPr>
            <w:tcW w:w="700" w:type="dxa"/>
            <w:tcMar>
              <w:top w:w="0" w:type="dxa"/>
              <w:bottom w:w="0" w:type="dxa"/>
            </w:tcMar>
            <w:vAlign w:val="center"/>
          </w:tcPr>
          <w:p w:rsidR="00434AB5" w:rsidRDefault="00D86D94">
            <w:pPr>
              <w:keepNext/>
              <w:keepLines/>
              <w:spacing w:after="0" w:line="240" w:lineRule="auto"/>
            </w:pPr>
            <w:r>
              <w:rPr>
                <w:sz w:val="18"/>
              </w:rPr>
              <w:t>3227</w:t>
            </w:r>
          </w:p>
        </w:tc>
        <w:tc>
          <w:tcPr>
            <w:tcW w:w="1860" w:type="dxa"/>
            <w:tcMar>
              <w:top w:w="0" w:type="dxa"/>
              <w:bottom w:w="0" w:type="dxa"/>
            </w:tcMar>
            <w:vAlign w:val="center"/>
          </w:tcPr>
          <w:p w:rsidR="00434AB5" w:rsidRDefault="00D86D94">
            <w:pPr>
              <w:keepNext/>
              <w:keepLines/>
              <w:spacing w:after="0" w:line="240" w:lineRule="auto"/>
              <w:jc w:val="right"/>
            </w:pPr>
            <w:r>
              <w:rPr>
                <w:sz w:val="18"/>
              </w:rPr>
              <w:t>237,43</w:t>
            </w:r>
          </w:p>
        </w:tc>
        <w:tc>
          <w:tcPr>
            <w:tcW w:w="1860" w:type="dxa"/>
            <w:tcMar>
              <w:top w:w="0" w:type="dxa"/>
              <w:bottom w:w="0" w:type="dxa"/>
            </w:tcMar>
            <w:vAlign w:val="center"/>
          </w:tcPr>
          <w:p w:rsidR="00434AB5" w:rsidRDefault="00D86D94">
            <w:pPr>
              <w:keepNext/>
              <w:keepLines/>
              <w:spacing w:after="0" w:line="240" w:lineRule="auto"/>
              <w:jc w:val="right"/>
            </w:pPr>
            <w:r>
              <w:rPr>
                <w:sz w:val="18"/>
              </w:rPr>
              <w:t>730,95</w:t>
            </w:r>
          </w:p>
        </w:tc>
        <w:tc>
          <w:tcPr>
            <w:tcW w:w="700" w:type="dxa"/>
            <w:tcMar>
              <w:top w:w="0" w:type="dxa"/>
              <w:bottom w:w="0" w:type="dxa"/>
            </w:tcMar>
            <w:vAlign w:val="center"/>
          </w:tcPr>
          <w:p w:rsidR="00434AB5" w:rsidRDefault="00D86D94">
            <w:pPr>
              <w:keepNext/>
              <w:keepLines/>
              <w:spacing w:after="0" w:line="240" w:lineRule="auto"/>
              <w:jc w:val="right"/>
            </w:pPr>
            <w:r>
              <w:rPr>
                <w:sz w:val="18"/>
              </w:rPr>
              <w:t>307,9</w:t>
            </w:r>
          </w:p>
        </w:tc>
      </w:tr>
    </w:tbl>
    <w:p w:rsidR="00434AB5" w:rsidRDefault="00434AB5">
      <w:pPr>
        <w:spacing w:after="0"/>
      </w:pPr>
    </w:p>
    <w:p w:rsidR="00434AB5" w:rsidRDefault="00D86D94">
      <w:pPr>
        <w:spacing w:line="240" w:lineRule="auto"/>
        <w:jc w:val="both"/>
      </w:pPr>
      <w:r>
        <w:t>Sukladno Procjeni rizika OŠ Monovjerna, redovno se opskrbljuje tehničko osoblje i kuhari  s radnom odjećom i obućom.</w:t>
      </w:r>
    </w:p>
    <w:p w:rsidR="00434AB5" w:rsidRDefault="00434AB5"/>
    <w:p w:rsidR="00434AB5" w:rsidRDefault="00D86D94">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3232</w:t>
            </w:r>
          </w:p>
        </w:tc>
        <w:tc>
          <w:tcPr>
            <w:tcW w:w="3180" w:type="dxa"/>
            <w:tcMar>
              <w:top w:w="0" w:type="dxa"/>
              <w:bottom w:w="0" w:type="dxa"/>
            </w:tcMar>
            <w:vAlign w:val="center"/>
          </w:tcPr>
          <w:p w:rsidR="00434AB5" w:rsidRDefault="00D86D94">
            <w:pPr>
              <w:keepNext/>
              <w:keepLines/>
              <w:spacing w:after="0" w:line="240" w:lineRule="auto"/>
            </w:pPr>
            <w:r>
              <w:rPr>
                <w:sz w:val="18"/>
              </w:rPr>
              <w:t>Usluge tekućeg i investicijskog održavanja</w:t>
            </w:r>
          </w:p>
        </w:tc>
        <w:tc>
          <w:tcPr>
            <w:tcW w:w="700" w:type="dxa"/>
            <w:tcMar>
              <w:top w:w="0" w:type="dxa"/>
              <w:bottom w:w="0" w:type="dxa"/>
            </w:tcMar>
            <w:vAlign w:val="center"/>
          </w:tcPr>
          <w:p w:rsidR="00434AB5" w:rsidRDefault="00D86D94">
            <w:pPr>
              <w:keepNext/>
              <w:keepLines/>
              <w:spacing w:after="0" w:line="240" w:lineRule="auto"/>
            </w:pPr>
            <w:r>
              <w:rPr>
                <w:sz w:val="18"/>
              </w:rPr>
              <w:t>3232</w:t>
            </w:r>
          </w:p>
        </w:tc>
        <w:tc>
          <w:tcPr>
            <w:tcW w:w="1860" w:type="dxa"/>
            <w:tcMar>
              <w:top w:w="0" w:type="dxa"/>
              <w:bottom w:w="0" w:type="dxa"/>
            </w:tcMar>
            <w:vAlign w:val="center"/>
          </w:tcPr>
          <w:p w:rsidR="00434AB5" w:rsidRDefault="00D86D94">
            <w:pPr>
              <w:keepNext/>
              <w:keepLines/>
              <w:spacing w:after="0" w:line="240" w:lineRule="auto"/>
              <w:jc w:val="right"/>
            </w:pPr>
            <w:r>
              <w:rPr>
                <w:sz w:val="18"/>
              </w:rPr>
              <w:t>11.945,67</w:t>
            </w:r>
          </w:p>
        </w:tc>
        <w:tc>
          <w:tcPr>
            <w:tcW w:w="1860" w:type="dxa"/>
            <w:tcMar>
              <w:top w:w="0" w:type="dxa"/>
              <w:bottom w:w="0" w:type="dxa"/>
            </w:tcMar>
            <w:vAlign w:val="center"/>
          </w:tcPr>
          <w:p w:rsidR="00434AB5" w:rsidRDefault="00D86D94">
            <w:pPr>
              <w:keepNext/>
              <w:keepLines/>
              <w:spacing w:after="0" w:line="240" w:lineRule="auto"/>
              <w:jc w:val="right"/>
            </w:pPr>
            <w:r>
              <w:rPr>
                <w:sz w:val="18"/>
              </w:rPr>
              <w:t>20.879,17</w:t>
            </w:r>
          </w:p>
        </w:tc>
        <w:tc>
          <w:tcPr>
            <w:tcW w:w="700" w:type="dxa"/>
            <w:tcMar>
              <w:top w:w="0" w:type="dxa"/>
              <w:bottom w:w="0" w:type="dxa"/>
            </w:tcMar>
            <w:vAlign w:val="center"/>
          </w:tcPr>
          <w:p w:rsidR="00434AB5" w:rsidRDefault="00D86D94">
            <w:pPr>
              <w:keepNext/>
              <w:keepLines/>
              <w:spacing w:after="0" w:line="240" w:lineRule="auto"/>
              <w:jc w:val="right"/>
            </w:pPr>
            <w:r>
              <w:rPr>
                <w:sz w:val="18"/>
              </w:rPr>
              <w:t>174,8</w:t>
            </w:r>
          </w:p>
        </w:tc>
      </w:tr>
    </w:tbl>
    <w:p w:rsidR="00434AB5" w:rsidRDefault="00434AB5">
      <w:pPr>
        <w:spacing w:after="0"/>
      </w:pPr>
    </w:p>
    <w:p w:rsidR="00434AB5" w:rsidRDefault="00D86D94">
      <w:pPr>
        <w:spacing w:line="240" w:lineRule="auto"/>
        <w:jc w:val="both"/>
      </w:pPr>
      <w:r>
        <w:t xml:space="preserve">Kontinuirano se radi na održavanju školske zgrade, dvorišta i </w:t>
      </w:r>
      <w:r>
        <w:t>opreme. Redovno servisiranje postrojenja i opreme.</w:t>
      </w:r>
    </w:p>
    <w:p w:rsidR="00434AB5" w:rsidRDefault="00434AB5"/>
    <w:p w:rsidR="00434AB5" w:rsidRDefault="00D86D94">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D86D94">
            <w:pPr>
              <w:keepNext/>
              <w:keepLines/>
              <w:spacing w:after="0" w:line="240" w:lineRule="auto"/>
            </w:pPr>
            <w:r>
              <w:rPr>
                <w:sz w:val="18"/>
              </w:rPr>
              <w:t>96</w:t>
            </w:r>
          </w:p>
        </w:tc>
        <w:tc>
          <w:tcPr>
            <w:tcW w:w="3180" w:type="dxa"/>
            <w:tcMar>
              <w:top w:w="0" w:type="dxa"/>
              <w:bottom w:w="0" w:type="dxa"/>
            </w:tcMar>
            <w:vAlign w:val="center"/>
          </w:tcPr>
          <w:p w:rsidR="00434AB5" w:rsidRDefault="00D86D94">
            <w:pPr>
              <w:keepNext/>
              <w:keepLines/>
              <w:spacing w:after="0" w:line="240" w:lineRule="auto"/>
            </w:pPr>
            <w:r>
              <w:rPr>
                <w:sz w:val="18"/>
              </w:rPr>
              <w:t xml:space="preserve">Obračunati prihodi </w:t>
            </w:r>
            <w:r>
              <w:rPr>
                <w:sz w:val="18"/>
              </w:rPr>
              <w:t>poslovanja - nenaplaćeni</w:t>
            </w:r>
          </w:p>
        </w:tc>
        <w:tc>
          <w:tcPr>
            <w:tcW w:w="700" w:type="dxa"/>
            <w:tcMar>
              <w:top w:w="0" w:type="dxa"/>
              <w:bottom w:w="0" w:type="dxa"/>
            </w:tcMar>
            <w:vAlign w:val="center"/>
          </w:tcPr>
          <w:p w:rsidR="00434AB5" w:rsidRDefault="00D86D94">
            <w:pPr>
              <w:keepNext/>
              <w:keepLines/>
              <w:spacing w:after="0" w:line="240" w:lineRule="auto"/>
            </w:pPr>
            <w:r>
              <w:rPr>
                <w:sz w:val="18"/>
              </w:rPr>
              <w:t>96</w:t>
            </w:r>
          </w:p>
        </w:tc>
        <w:tc>
          <w:tcPr>
            <w:tcW w:w="1860" w:type="dxa"/>
            <w:tcMar>
              <w:top w:w="0" w:type="dxa"/>
              <w:bottom w:w="0" w:type="dxa"/>
            </w:tcMar>
            <w:vAlign w:val="center"/>
          </w:tcPr>
          <w:p w:rsidR="00434AB5" w:rsidRDefault="00D86D94">
            <w:pPr>
              <w:keepNext/>
              <w:keepLines/>
              <w:spacing w:after="0" w:line="240" w:lineRule="auto"/>
              <w:jc w:val="right"/>
            </w:pPr>
            <w:r>
              <w:rPr>
                <w:sz w:val="18"/>
              </w:rPr>
              <w:t>1.346,79</w:t>
            </w:r>
          </w:p>
        </w:tc>
        <w:tc>
          <w:tcPr>
            <w:tcW w:w="1860" w:type="dxa"/>
            <w:tcMar>
              <w:top w:w="0" w:type="dxa"/>
              <w:bottom w:w="0" w:type="dxa"/>
            </w:tcMar>
            <w:vAlign w:val="center"/>
          </w:tcPr>
          <w:p w:rsidR="00434AB5" w:rsidRDefault="00D86D94">
            <w:pPr>
              <w:keepNext/>
              <w:keepLines/>
              <w:spacing w:after="0" w:line="240" w:lineRule="auto"/>
              <w:jc w:val="right"/>
            </w:pPr>
            <w:r>
              <w:rPr>
                <w:sz w:val="18"/>
              </w:rPr>
              <w:t>130.691,14</w:t>
            </w:r>
          </w:p>
        </w:tc>
        <w:tc>
          <w:tcPr>
            <w:tcW w:w="700" w:type="dxa"/>
            <w:tcMar>
              <w:top w:w="0" w:type="dxa"/>
              <w:bottom w:w="0" w:type="dxa"/>
            </w:tcMar>
            <w:vAlign w:val="center"/>
          </w:tcPr>
          <w:p w:rsidR="00434AB5" w:rsidRDefault="00D86D94">
            <w:pPr>
              <w:keepNext/>
              <w:keepLines/>
              <w:spacing w:after="0" w:line="240" w:lineRule="auto"/>
              <w:jc w:val="right"/>
            </w:pPr>
            <w:r>
              <w:rPr>
                <w:sz w:val="18"/>
              </w:rPr>
              <w:t>9703,9</w:t>
            </w:r>
          </w:p>
        </w:tc>
      </w:tr>
    </w:tbl>
    <w:p w:rsidR="00434AB5" w:rsidRDefault="00434AB5">
      <w:pPr>
        <w:spacing w:after="0"/>
      </w:pPr>
    </w:p>
    <w:p w:rsidR="00434AB5" w:rsidRDefault="00D86D94">
      <w:pPr>
        <w:spacing w:line="240" w:lineRule="auto"/>
        <w:jc w:val="both"/>
      </w:pPr>
      <w:r>
        <w:t>Indeks prikazuje povećanje u odnosu na prethodnu godinu, a odnosi se na neuplaćene prihode za plaću za lipanj 2025.,  a isti će biti doznačeni tijekom srpnja 2025.godine.</w:t>
      </w:r>
    </w:p>
    <w:p w:rsidR="00434AB5" w:rsidRDefault="00434AB5"/>
    <w:p w:rsidR="00434AB5" w:rsidRDefault="00D86D94">
      <w:pPr>
        <w:keepNext/>
        <w:spacing w:line="240" w:lineRule="auto"/>
        <w:jc w:val="center"/>
      </w:pPr>
      <w:r>
        <w:rPr>
          <w:b/>
          <w:sz w:val="28"/>
        </w:rPr>
        <w:t xml:space="preserve">Izvještaj o </w:t>
      </w:r>
      <w:r>
        <w:rPr>
          <w:b/>
          <w:sz w:val="28"/>
        </w:rPr>
        <w:t>obvezama</w:t>
      </w:r>
    </w:p>
    <w:p w:rsidR="00434AB5" w:rsidRDefault="00D86D94">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434AB5">
        <w:tblPrEx>
          <w:tblCellMar>
            <w:top w:w="0" w:type="dxa"/>
            <w:bottom w:w="0" w:type="dxa"/>
          </w:tblCellMar>
        </w:tblPrEx>
        <w:trPr>
          <w:cantSplit/>
        </w:trPr>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434AB5" w:rsidRDefault="00D86D94">
            <w:pPr>
              <w:keepNext/>
              <w:keepLines/>
              <w:spacing w:after="0" w:line="240" w:lineRule="auto"/>
              <w:jc w:val="center"/>
            </w:pPr>
            <w:r>
              <w:rPr>
                <w:b/>
                <w:sz w:val="18"/>
              </w:rPr>
              <w:t>Indeks (%)</w:t>
            </w:r>
          </w:p>
        </w:tc>
      </w:tr>
      <w:tr w:rsidR="00434AB5">
        <w:tblPrEx>
          <w:tblCellMar>
            <w:top w:w="0" w:type="dxa"/>
            <w:bottom w:w="0" w:type="dxa"/>
          </w:tblCellMar>
        </w:tblPrEx>
        <w:trPr>
          <w:cantSplit/>
          <w:trHeight w:val="560"/>
        </w:trPr>
        <w:tc>
          <w:tcPr>
            <w:tcW w:w="700" w:type="dxa"/>
            <w:tcMar>
              <w:top w:w="0" w:type="dxa"/>
              <w:bottom w:w="0" w:type="dxa"/>
            </w:tcMar>
            <w:vAlign w:val="center"/>
          </w:tcPr>
          <w:p w:rsidR="00434AB5" w:rsidRDefault="00434AB5">
            <w:pPr>
              <w:keepNext/>
              <w:keepLines/>
              <w:spacing w:after="0" w:line="240" w:lineRule="auto"/>
            </w:pPr>
          </w:p>
        </w:tc>
        <w:tc>
          <w:tcPr>
            <w:tcW w:w="3180" w:type="dxa"/>
            <w:tcMar>
              <w:top w:w="0" w:type="dxa"/>
              <w:bottom w:w="0" w:type="dxa"/>
            </w:tcMar>
            <w:vAlign w:val="center"/>
          </w:tcPr>
          <w:p w:rsidR="00434AB5" w:rsidRDefault="00D86D94">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434AB5" w:rsidRDefault="00D86D94">
            <w:pPr>
              <w:keepNext/>
              <w:keepLines/>
              <w:spacing w:after="0" w:line="240" w:lineRule="auto"/>
            </w:pPr>
            <w:r>
              <w:rPr>
                <w:sz w:val="18"/>
              </w:rPr>
              <w:t>V007</w:t>
            </w:r>
          </w:p>
        </w:tc>
        <w:tc>
          <w:tcPr>
            <w:tcW w:w="1860" w:type="dxa"/>
            <w:tcMar>
              <w:top w:w="0" w:type="dxa"/>
              <w:bottom w:w="0" w:type="dxa"/>
            </w:tcMar>
            <w:vAlign w:val="center"/>
          </w:tcPr>
          <w:p w:rsidR="00434AB5" w:rsidRDefault="00D86D94">
            <w:pPr>
              <w:keepNext/>
              <w:keepLines/>
              <w:spacing w:after="0" w:line="240" w:lineRule="auto"/>
              <w:jc w:val="right"/>
            </w:pPr>
            <w:r>
              <w:rPr>
                <w:sz w:val="18"/>
              </w:rPr>
              <w:t>0,00</w:t>
            </w:r>
          </w:p>
        </w:tc>
        <w:tc>
          <w:tcPr>
            <w:tcW w:w="700" w:type="dxa"/>
            <w:tcMar>
              <w:top w:w="0" w:type="dxa"/>
              <w:bottom w:w="0" w:type="dxa"/>
            </w:tcMar>
            <w:vAlign w:val="center"/>
          </w:tcPr>
          <w:p w:rsidR="00434AB5" w:rsidRDefault="00D86D94">
            <w:pPr>
              <w:keepNext/>
              <w:keepLines/>
              <w:spacing w:after="0" w:line="240" w:lineRule="auto"/>
              <w:jc w:val="right"/>
            </w:pPr>
            <w:r>
              <w:rPr>
                <w:sz w:val="18"/>
              </w:rPr>
              <w:t>-</w:t>
            </w:r>
          </w:p>
        </w:tc>
      </w:tr>
    </w:tbl>
    <w:p w:rsidR="00434AB5" w:rsidRDefault="00434AB5">
      <w:pPr>
        <w:spacing w:after="0"/>
      </w:pPr>
    </w:p>
    <w:p w:rsidR="00434AB5" w:rsidRDefault="00D86D94">
      <w:pPr>
        <w:spacing w:line="240" w:lineRule="auto"/>
        <w:jc w:val="both"/>
      </w:pPr>
      <w:r>
        <w:t xml:space="preserve">Stanje nedospjelih obveza na kraju izvještajnog </w:t>
      </w:r>
      <w:r>
        <w:t>razdoblja iznosi 141.397,56 eura, a odnosi se na: plaću za mjesec lipanj 2025. godine, koja se isplaćuje u mjesecu srpnju 2025. godine, obveze za materijalne rashode, obveze za financijske rashode te obveze za tekuće donacije u naravi.</w:t>
      </w:r>
    </w:p>
    <w:p w:rsidR="00434AB5" w:rsidRDefault="00434AB5"/>
    <w:sectPr w:rsidR="00434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B5"/>
    <w:rsid w:val="00434AB5"/>
    <w:rsid w:val="00D86D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85ED9-63D3-446D-85B7-7E19A095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Marija Prkačin</cp:lastModifiedBy>
  <cp:revision>2</cp:revision>
  <dcterms:created xsi:type="dcterms:W3CDTF">2025-07-09T09:10:00Z</dcterms:created>
  <dcterms:modified xsi:type="dcterms:W3CDTF">2025-07-09T09:10:00Z</dcterms:modified>
</cp:coreProperties>
</file>